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280"/>
        <w:gridCol w:w="1283"/>
      </w:tblGrid>
      <w:tr w:rsidR="003C1DED" w:rsidTr="00304983">
        <w:tc>
          <w:tcPr>
            <w:tcW w:w="10031" w:type="dxa"/>
            <w:gridSpan w:val="3"/>
            <w:shd w:val="clear" w:color="auto" w:fill="auto"/>
          </w:tcPr>
          <w:p w:rsidR="003C1DED" w:rsidRPr="00304983" w:rsidRDefault="00304983" w:rsidP="00B328D3">
            <w:pPr>
              <w:rPr>
                <w:b/>
              </w:rPr>
            </w:pPr>
            <w:r w:rsidRPr="00304983">
              <w:rPr>
                <w:b/>
              </w:rPr>
              <w:t>Kunstwettbewerb</w:t>
            </w:r>
            <w:r>
              <w:rPr>
                <w:b/>
              </w:rPr>
              <w:t xml:space="preserve"> Kunst am Bau </w:t>
            </w:r>
            <w:proofErr w:type="gramStart"/>
            <w:r>
              <w:rPr>
                <w:b/>
              </w:rPr>
              <w:t xml:space="preserve">- </w:t>
            </w:r>
            <w:r w:rsidR="00B328D3">
              <w:rPr>
                <w:b/>
              </w:rPr>
              <w:t xml:space="preserve"> </w:t>
            </w:r>
            <w:r>
              <w:rPr>
                <w:b/>
              </w:rPr>
              <w:t>Honorar</w:t>
            </w:r>
            <w:proofErr w:type="gramEnd"/>
            <w:r>
              <w:rPr>
                <w:b/>
              </w:rPr>
              <w:t xml:space="preserve">- und </w:t>
            </w:r>
            <w:r w:rsidRPr="0060616D">
              <w:rPr>
                <w:b/>
              </w:rPr>
              <w:t>Kosten</w:t>
            </w:r>
            <w:r>
              <w:rPr>
                <w:b/>
              </w:rPr>
              <w:t xml:space="preserve">berechnung </w:t>
            </w:r>
            <w:r w:rsidRPr="0060616D">
              <w:rPr>
                <w:b/>
              </w:rPr>
              <w:tab/>
            </w:r>
            <w:r w:rsidR="00B328D3">
              <w:rPr>
                <w:b/>
              </w:rPr>
              <w:t xml:space="preserve">    </w:t>
            </w:r>
            <w:r w:rsidR="00732ABC">
              <w:rPr>
                <w:b/>
              </w:rPr>
              <w:t xml:space="preserve">Anlage </w:t>
            </w:r>
            <w:r w:rsidR="00FE7981">
              <w:rPr>
                <w:b/>
              </w:rPr>
              <w:t>3</w:t>
            </w:r>
          </w:p>
        </w:tc>
      </w:tr>
      <w:tr w:rsidR="00304983" w:rsidRPr="009965AA" w:rsidTr="00304983">
        <w:tc>
          <w:tcPr>
            <w:tcW w:w="10031" w:type="dxa"/>
            <w:gridSpan w:val="3"/>
            <w:shd w:val="clear" w:color="auto" w:fill="auto"/>
          </w:tcPr>
          <w:p w:rsidR="00304983" w:rsidRPr="009D6A5B" w:rsidRDefault="00732ABC" w:rsidP="00EA33B7">
            <w:pPr>
              <w:rPr>
                <w:color w:val="808080"/>
              </w:rPr>
            </w:pPr>
            <w:r w:rsidRPr="009D6A5B">
              <w:t>Kunstwettbewerb</w:t>
            </w:r>
            <w:r w:rsidR="00FE7981">
              <w:t xml:space="preserve"> Campus Neue Weststadt Esslingen</w:t>
            </w:r>
            <w:r w:rsidR="009759E8">
              <w:t>, Stufe 2</w:t>
            </w:r>
            <w:bookmarkStart w:id="0" w:name="_GoBack"/>
            <w:bookmarkEnd w:id="0"/>
          </w:p>
        </w:tc>
      </w:tr>
      <w:tr w:rsidR="00304983" w:rsidTr="00304983">
        <w:tc>
          <w:tcPr>
            <w:tcW w:w="10031" w:type="dxa"/>
            <w:gridSpan w:val="3"/>
            <w:shd w:val="clear" w:color="auto" w:fill="auto"/>
          </w:tcPr>
          <w:p w:rsidR="00304983" w:rsidRPr="00304983" w:rsidRDefault="00304983" w:rsidP="006E722A">
            <w:pPr>
              <w:rPr>
                <w:b/>
                <w:i/>
                <w:color w:val="808080"/>
              </w:rPr>
            </w:pPr>
            <w:r w:rsidRPr="00304983">
              <w:rPr>
                <w:b/>
                <w:i/>
                <w:color w:val="808080"/>
              </w:rPr>
              <w:t>Titel des Wettbewerbsentwurfs</w:t>
            </w:r>
          </w:p>
        </w:tc>
      </w:tr>
      <w:tr w:rsidR="00304983" w:rsidTr="00304983">
        <w:tc>
          <w:tcPr>
            <w:tcW w:w="10031" w:type="dxa"/>
            <w:gridSpan w:val="3"/>
            <w:shd w:val="clear" w:color="auto" w:fill="auto"/>
          </w:tcPr>
          <w:p w:rsidR="00304983" w:rsidRPr="00304983" w:rsidRDefault="00304983" w:rsidP="006E722A">
            <w:pPr>
              <w:rPr>
                <w:b/>
                <w:i/>
                <w:color w:val="808080"/>
              </w:rPr>
            </w:pPr>
            <w:r w:rsidRPr="00304983">
              <w:rPr>
                <w:b/>
                <w:i/>
                <w:color w:val="808080"/>
              </w:rPr>
              <w:t>Verfasser</w:t>
            </w:r>
            <w:r w:rsidR="00AD5E3D">
              <w:rPr>
                <w:b/>
                <w:i/>
                <w:color w:val="808080"/>
              </w:rPr>
              <w:t>/Verfasserin</w:t>
            </w:r>
          </w:p>
        </w:tc>
      </w:tr>
      <w:tr w:rsidR="00132A86" w:rsidRPr="008F63FB" w:rsidTr="00954420">
        <w:tc>
          <w:tcPr>
            <w:tcW w:w="8748" w:type="dxa"/>
            <w:gridSpan w:val="2"/>
            <w:shd w:val="clear" w:color="auto" w:fill="auto"/>
          </w:tcPr>
          <w:p w:rsidR="00132A86" w:rsidRPr="008F63FB" w:rsidRDefault="00132A86" w:rsidP="005112F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FB0C85">
            <w:pPr>
              <w:jc w:val="center"/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EUR</w:t>
            </w: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954420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954420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Planungskosten, Leistungen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FB0C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5D02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 xml:space="preserve">Entwurf, Überarbeitung und Weiterentwicklung des Wettbewerbsentwurfs 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FB0C85">
            <w:pPr>
              <w:jc w:val="right"/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FB0C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>Zusammenstellung der Planungsunterlagen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FB0C85">
            <w:pPr>
              <w:jc w:val="right"/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FB0C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>Abstimmung mit Dritten, Firmen, Ämtern, Auftraggebern</w:t>
            </w:r>
            <w:r>
              <w:rPr>
                <w:sz w:val="20"/>
                <w:szCs w:val="20"/>
              </w:rPr>
              <w:t xml:space="preserve">, Architekten </w:t>
            </w:r>
            <w:r w:rsidRPr="008F63FB">
              <w:rPr>
                <w:sz w:val="20"/>
                <w:szCs w:val="20"/>
              </w:rPr>
              <w:t xml:space="preserve"> u. a. – wegen notwendiger Lieferungen, Leistungen und Genehmigungen und Einholen von Kostenvoranschlägen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FB0C85">
            <w:pPr>
              <w:jc w:val="right"/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7E70D6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Herstellungskosten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FB0C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>Modellkosten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FB0C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>Materialkosten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FB0C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>Transport / Lieferung, Montage, Hilfsgerüste, Geräte u. ä.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>Mieten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>Aufstellung, Anbringung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>Technik (Wasser, Elektro etc.)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>Leistungen durch Fremdfirmen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AD5E3D">
            <w:p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 xml:space="preserve">Handwerkliche </w:t>
            </w:r>
            <w:r w:rsidR="00AD5E3D">
              <w:rPr>
                <w:sz w:val="20"/>
                <w:szCs w:val="20"/>
              </w:rPr>
              <w:t>L</w:t>
            </w:r>
            <w:r w:rsidRPr="008F63FB">
              <w:rPr>
                <w:sz w:val="20"/>
                <w:szCs w:val="20"/>
              </w:rPr>
              <w:t>eistung des Künstlers</w:t>
            </w:r>
            <w:r w:rsidR="00AD5E3D">
              <w:rPr>
                <w:sz w:val="20"/>
                <w:szCs w:val="20"/>
              </w:rPr>
              <w:t>/der Künstlerin</w:t>
            </w:r>
            <w:r w:rsidRPr="008F63FB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28621F">
            <w:p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 xml:space="preserve">Leistungen Hilfskräfte                                            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28621F">
            <w:p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 xml:space="preserve">Endbearbeitung / Fertigstellung Künstler              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Honorare Dritte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FB0C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>Fachtechnische Beratung durch Dritte, z.B. Statiker</w:t>
            </w:r>
            <w:r w:rsidR="00EA67A6">
              <w:rPr>
                <w:sz w:val="20"/>
                <w:szCs w:val="20"/>
              </w:rPr>
              <w:t>, Brandschutzsachverständiger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Honorar Künstler</w:t>
            </w:r>
            <w:r w:rsidR="00AD5E3D">
              <w:rPr>
                <w:b/>
                <w:sz w:val="20"/>
                <w:szCs w:val="20"/>
              </w:rPr>
              <w:t>/Künstlerin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FB0C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 xml:space="preserve">Künstlerhonorar, Künstlerische Idee, Konzeption 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FB0C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>Künstlerische Projektleitung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7E70D6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Sonstiges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FB0C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>Reisekosten etc.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132A86" w:rsidRPr="008F63FB" w:rsidRDefault="009F27F4" w:rsidP="009F2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Berufsh</w:t>
            </w:r>
            <w:r w:rsidR="00132A86" w:rsidRPr="008F63FB">
              <w:rPr>
                <w:b/>
                <w:sz w:val="20"/>
                <w:szCs w:val="20"/>
              </w:rPr>
              <w:t>aftpflichtversicherung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bottom w:val="single" w:sz="12" w:space="0" w:color="auto"/>
            </w:tcBorders>
            <w:shd w:val="clear" w:color="auto" w:fill="auto"/>
          </w:tcPr>
          <w:p w:rsidR="00132A86" w:rsidRPr="008F63FB" w:rsidRDefault="00132A86" w:rsidP="007E70D6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Unvorhergesehenes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12" w:space="0" w:color="auto"/>
            </w:tcBorders>
            <w:shd w:val="clear" w:color="auto" w:fill="auto"/>
          </w:tcPr>
          <w:p w:rsidR="00132A86" w:rsidRPr="008F63FB" w:rsidRDefault="00132A86" w:rsidP="007E70D6">
            <w:p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>Summe netto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AC1FD2" w:rsidRDefault="00132A86" w:rsidP="00FB0C85">
            <w:pPr>
              <w:jc w:val="center"/>
              <w:rPr>
                <w:sz w:val="20"/>
                <w:szCs w:val="20"/>
              </w:rPr>
            </w:pPr>
            <w:r w:rsidRPr="00AC1FD2">
              <w:rPr>
                <w:sz w:val="20"/>
                <w:szCs w:val="20"/>
              </w:rPr>
              <w:t>*)</w:t>
            </w: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7E70D6">
            <w:pPr>
              <w:rPr>
                <w:sz w:val="20"/>
                <w:szCs w:val="20"/>
              </w:rPr>
            </w:pPr>
            <w:r w:rsidRPr="008F63FB">
              <w:rPr>
                <w:sz w:val="20"/>
                <w:szCs w:val="20"/>
              </w:rPr>
              <w:t xml:space="preserve">Umsatzsteuer   …….  </w:t>
            </w:r>
            <w:r>
              <w:rPr>
                <w:sz w:val="20"/>
                <w:szCs w:val="20"/>
              </w:rPr>
              <w:t xml:space="preserve">  </w:t>
            </w:r>
            <w:r w:rsidRPr="008F63FB">
              <w:rPr>
                <w:sz w:val="20"/>
                <w:szCs w:val="20"/>
              </w:rPr>
              <w:t>%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7E70D6">
            <w:pPr>
              <w:rPr>
                <w:b/>
                <w:sz w:val="20"/>
                <w:szCs w:val="20"/>
              </w:rPr>
            </w:pPr>
            <w:r w:rsidRPr="008F63FB">
              <w:rPr>
                <w:b/>
                <w:sz w:val="20"/>
                <w:szCs w:val="20"/>
              </w:rPr>
              <w:t>Summe brutto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</w:p>
        </w:tc>
      </w:tr>
      <w:tr w:rsidR="00132A86" w:rsidRPr="008F63FB" w:rsidTr="00132A86">
        <w:tc>
          <w:tcPr>
            <w:tcW w:w="468" w:type="dxa"/>
            <w:shd w:val="clear" w:color="auto" w:fill="auto"/>
          </w:tcPr>
          <w:p w:rsidR="00132A86" w:rsidRPr="008F63FB" w:rsidRDefault="00132A86" w:rsidP="0060616D">
            <w:p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8F63FB" w:rsidRDefault="00132A86" w:rsidP="00A813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abzgl. </w:t>
            </w:r>
            <w:r w:rsidRPr="005D0276">
              <w:rPr>
                <w:sz w:val="20"/>
                <w:szCs w:val="20"/>
              </w:rPr>
              <w:t xml:space="preserve">Wettbewerbsentwurf, </w:t>
            </w:r>
            <w:r w:rsidR="00737BCB">
              <w:rPr>
                <w:sz w:val="20"/>
                <w:szCs w:val="20"/>
              </w:rPr>
              <w:t>Wettbewerbsh</w:t>
            </w:r>
            <w:r w:rsidRPr="005D0276">
              <w:rPr>
                <w:sz w:val="20"/>
                <w:szCs w:val="20"/>
              </w:rPr>
              <w:t>onorar</w:t>
            </w:r>
            <w:r>
              <w:rPr>
                <w:sz w:val="20"/>
                <w:szCs w:val="20"/>
              </w:rPr>
              <w:t xml:space="preserve"> laut Auslobung                                                  </w:t>
            </w:r>
          </w:p>
        </w:tc>
        <w:tc>
          <w:tcPr>
            <w:tcW w:w="1283" w:type="dxa"/>
            <w:shd w:val="clear" w:color="auto" w:fill="auto"/>
          </w:tcPr>
          <w:p w:rsidR="00132A86" w:rsidRPr="008F63FB" w:rsidRDefault="00132A86" w:rsidP="00A813C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132A86" w:rsidRPr="00A813C0" w:rsidTr="00132A86">
        <w:tc>
          <w:tcPr>
            <w:tcW w:w="468" w:type="dxa"/>
            <w:shd w:val="clear" w:color="auto" w:fill="auto"/>
          </w:tcPr>
          <w:p w:rsidR="00132A86" w:rsidRPr="00A813C0" w:rsidRDefault="00132A86" w:rsidP="0060616D">
            <w:p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</w:tcPr>
          <w:p w:rsidR="00132A86" w:rsidRPr="00A813C0" w:rsidRDefault="00132A86" w:rsidP="007E70D6">
            <w:pPr>
              <w:rPr>
                <w:b/>
                <w:sz w:val="20"/>
                <w:szCs w:val="20"/>
              </w:rPr>
            </w:pPr>
            <w:r w:rsidRPr="00A813C0">
              <w:rPr>
                <w:b/>
                <w:sz w:val="20"/>
                <w:szCs w:val="20"/>
              </w:rPr>
              <w:t>Kosten Kunstwerk brutto</w:t>
            </w:r>
          </w:p>
        </w:tc>
        <w:tc>
          <w:tcPr>
            <w:tcW w:w="1283" w:type="dxa"/>
            <w:shd w:val="clear" w:color="auto" w:fill="auto"/>
          </w:tcPr>
          <w:p w:rsidR="00132A86" w:rsidRPr="00A813C0" w:rsidRDefault="00132A86" w:rsidP="0060616D">
            <w:pPr>
              <w:rPr>
                <w:b/>
                <w:sz w:val="20"/>
                <w:szCs w:val="20"/>
              </w:rPr>
            </w:pPr>
          </w:p>
        </w:tc>
      </w:tr>
    </w:tbl>
    <w:p w:rsidR="00934A1C" w:rsidRDefault="00934A1C" w:rsidP="0060616D">
      <w:pPr>
        <w:rPr>
          <w:sz w:val="20"/>
          <w:szCs w:val="20"/>
        </w:rPr>
      </w:pPr>
    </w:p>
    <w:p w:rsidR="003C2A88" w:rsidRDefault="003C2A88" w:rsidP="0060616D">
      <w:pPr>
        <w:rPr>
          <w:sz w:val="20"/>
          <w:szCs w:val="20"/>
        </w:rPr>
      </w:pPr>
      <w:proofErr w:type="gramStart"/>
      <w:r w:rsidRPr="008F63FB">
        <w:rPr>
          <w:sz w:val="16"/>
          <w:szCs w:val="16"/>
        </w:rPr>
        <w:t>* )</w:t>
      </w:r>
      <w:proofErr w:type="gramEnd"/>
      <w:r w:rsidRPr="008F63FB">
        <w:rPr>
          <w:sz w:val="16"/>
          <w:szCs w:val="16"/>
        </w:rPr>
        <w:t xml:space="preserve"> </w:t>
      </w:r>
      <w:r w:rsidRPr="008F63FB">
        <w:rPr>
          <w:i/>
          <w:sz w:val="16"/>
          <w:szCs w:val="16"/>
        </w:rPr>
        <w:t>Um den ermäßigten Umsatzsteuersatz zu beanspruchen, sind bestimmte Voraussetzungen zu erfüllen. Es wird empfohlen dieses vorab mit dem zuständigen Finanzamt zu klären.</w:t>
      </w:r>
      <w:r w:rsidR="000A1004">
        <w:rPr>
          <w:i/>
          <w:sz w:val="16"/>
          <w:szCs w:val="16"/>
        </w:rPr>
        <w:t xml:space="preserve"> Wenn mehrere Kunstwerke angeboten werden, empfiehlt es sich für jedes Objekt eine Berechnung vorzul</w:t>
      </w:r>
      <w:r w:rsidR="009759E8">
        <w:rPr>
          <w:i/>
          <w:sz w:val="16"/>
          <w:szCs w:val="16"/>
        </w:rPr>
        <w:t>e</w:t>
      </w:r>
      <w:r w:rsidR="000A1004">
        <w:rPr>
          <w:i/>
          <w:sz w:val="16"/>
          <w:szCs w:val="16"/>
        </w:rPr>
        <w:t>gen.</w:t>
      </w:r>
    </w:p>
    <w:sectPr w:rsidR="003C2A88" w:rsidSect="00004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499" w:bottom="142" w:left="1400" w:header="425" w:footer="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256" w:rsidRDefault="00660256" w:rsidP="00F02726">
      <w:r>
        <w:separator/>
      </w:r>
    </w:p>
  </w:endnote>
  <w:endnote w:type="continuationSeparator" w:id="0">
    <w:p w:rsidR="00660256" w:rsidRDefault="00660256" w:rsidP="00F0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1C" w:rsidRDefault="00934A1C" w:rsidP="00E64F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34A1C" w:rsidRDefault="00934A1C" w:rsidP="007E70D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983" w:rsidRDefault="00304983" w:rsidP="00304983">
    <w:pPr>
      <w:pStyle w:val="Fuzeile"/>
    </w:pPr>
  </w:p>
  <w:p w:rsidR="003C2A88" w:rsidRPr="00304983" w:rsidRDefault="003C2A88" w:rsidP="003049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CB" w:rsidRDefault="00737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256" w:rsidRDefault="00660256" w:rsidP="00F02726">
      <w:r>
        <w:separator/>
      </w:r>
    </w:p>
  </w:footnote>
  <w:footnote w:type="continuationSeparator" w:id="0">
    <w:p w:rsidR="00660256" w:rsidRDefault="00660256" w:rsidP="00F0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CB" w:rsidRDefault="00737B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A6" w:rsidRPr="00FE7981" w:rsidRDefault="00EA67A6" w:rsidP="00864807">
    <w:pPr>
      <w:tabs>
        <w:tab w:val="left" w:pos="2835"/>
        <w:tab w:val="center" w:pos="4536"/>
        <w:tab w:val="right" w:pos="7938"/>
        <w:tab w:val="right" w:pos="9356"/>
        <w:tab w:val="right" w:pos="10632"/>
      </w:tabs>
      <w:spacing w:line="240" w:lineRule="auto"/>
      <w:rPr>
        <w:rFonts w:cs="Arial"/>
        <w:sz w:val="20"/>
        <w:szCs w:val="20"/>
      </w:rPr>
    </w:pPr>
    <w:r w:rsidRPr="00FE7981">
      <w:rPr>
        <w:rFonts w:cs="Arial"/>
        <w:sz w:val="20"/>
        <w:szCs w:val="20"/>
      </w:rPr>
      <w:t xml:space="preserve">Vermögen und Bau </w:t>
    </w:r>
    <w:proofErr w:type="gramStart"/>
    <w:r w:rsidRPr="00FE7981">
      <w:rPr>
        <w:rFonts w:cs="Arial"/>
        <w:sz w:val="20"/>
        <w:szCs w:val="20"/>
      </w:rPr>
      <w:t>Baden Württemberg</w:t>
    </w:r>
    <w:proofErr w:type="gramEnd"/>
    <w:r w:rsidRPr="00FE7981">
      <w:rPr>
        <w:rFonts w:cs="Arial"/>
        <w:sz w:val="20"/>
        <w:szCs w:val="20"/>
      </w:rPr>
      <w:t xml:space="preserve"> Amt</w:t>
    </w:r>
    <w:r w:rsidR="00FE7981" w:rsidRPr="00FE7981">
      <w:rPr>
        <w:rFonts w:cs="Arial"/>
        <w:sz w:val="20"/>
        <w:szCs w:val="20"/>
      </w:rPr>
      <w:t xml:space="preserve"> Ludwigsburg</w:t>
    </w:r>
  </w:p>
  <w:p w:rsidR="00864807" w:rsidRPr="00FE7981" w:rsidRDefault="00EA67A6" w:rsidP="00864807">
    <w:pPr>
      <w:tabs>
        <w:tab w:val="left" w:pos="2835"/>
        <w:tab w:val="center" w:pos="4536"/>
        <w:tab w:val="right" w:pos="7938"/>
        <w:tab w:val="right" w:pos="9356"/>
        <w:tab w:val="right" w:pos="10632"/>
      </w:tabs>
      <w:spacing w:line="240" w:lineRule="auto"/>
      <w:rPr>
        <w:rFonts w:cs="Arial"/>
        <w:sz w:val="20"/>
        <w:szCs w:val="20"/>
      </w:rPr>
    </w:pPr>
    <w:r w:rsidRPr="00FE7981">
      <w:rPr>
        <w:rFonts w:cs="Arial"/>
        <w:sz w:val="20"/>
        <w:szCs w:val="20"/>
      </w:rPr>
      <w:t>Kunstwettbewerb</w:t>
    </w:r>
    <w:r w:rsidR="00FE7981" w:rsidRPr="00FE7981">
      <w:rPr>
        <w:rFonts w:cs="Arial"/>
        <w:sz w:val="20"/>
        <w:szCs w:val="20"/>
      </w:rPr>
      <w:t xml:space="preserve"> Campus Neue Weststadt Esslingen</w:t>
    </w:r>
  </w:p>
  <w:p w:rsidR="002B4D5D" w:rsidRPr="00864807" w:rsidRDefault="002B4D5D" w:rsidP="008648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CB" w:rsidRDefault="00737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433"/>
    <w:multiLevelType w:val="hybridMultilevel"/>
    <w:tmpl w:val="BDFE6E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D61735"/>
    <w:multiLevelType w:val="hybridMultilevel"/>
    <w:tmpl w:val="234C9382"/>
    <w:lvl w:ilvl="0" w:tplc="8EEC89A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16D"/>
    <w:rsid w:val="0000235E"/>
    <w:rsid w:val="00004B4C"/>
    <w:rsid w:val="00021506"/>
    <w:rsid w:val="0003258E"/>
    <w:rsid w:val="00041A9F"/>
    <w:rsid w:val="00044BA5"/>
    <w:rsid w:val="00060DB3"/>
    <w:rsid w:val="00084B63"/>
    <w:rsid w:val="00086D06"/>
    <w:rsid w:val="000A0E35"/>
    <w:rsid w:val="000A1004"/>
    <w:rsid w:val="000A72C6"/>
    <w:rsid w:val="000D328B"/>
    <w:rsid w:val="000E1590"/>
    <w:rsid w:val="001263EE"/>
    <w:rsid w:val="00127D08"/>
    <w:rsid w:val="001316F6"/>
    <w:rsid w:val="00132A86"/>
    <w:rsid w:val="00133696"/>
    <w:rsid w:val="00136A6A"/>
    <w:rsid w:val="001700ED"/>
    <w:rsid w:val="0017576C"/>
    <w:rsid w:val="00176742"/>
    <w:rsid w:val="0018104E"/>
    <w:rsid w:val="00185EA5"/>
    <w:rsid w:val="001919F4"/>
    <w:rsid w:val="001B0128"/>
    <w:rsid w:val="001E5AFC"/>
    <w:rsid w:val="00204EFF"/>
    <w:rsid w:val="00227483"/>
    <w:rsid w:val="002325C6"/>
    <w:rsid w:val="002545EE"/>
    <w:rsid w:val="00275552"/>
    <w:rsid w:val="00275F84"/>
    <w:rsid w:val="0028621F"/>
    <w:rsid w:val="00291F5E"/>
    <w:rsid w:val="002922C6"/>
    <w:rsid w:val="002B4D5D"/>
    <w:rsid w:val="002B5DDF"/>
    <w:rsid w:val="002C47E5"/>
    <w:rsid w:val="002D06F0"/>
    <w:rsid w:val="002D6179"/>
    <w:rsid w:val="00303E0D"/>
    <w:rsid w:val="00304983"/>
    <w:rsid w:val="003101B5"/>
    <w:rsid w:val="00310279"/>
    <w:rsid w:val="003106CF"/>
    <w:rsid w:val="00323A3E"/>
    <w:rsid w:val="003357C8"/>
    <w:rsid w:val="003707C4"/>
    <w:rsid w:val="003804A6"/>
    <w:rsid w:val="003C1DED"/>
    <w:rsid w:val="003C2A88"/>
    <w:rsid w:val="003D2069"/>
    <w:rsid w:val="003D597D"/>
    <w:rsid w:val="003E35A9"/>
    <w:rsid w:val="003F0C1F"/>
    <w:rsid w:val="00400B76"/>
    <w:rsid w:val="0045014C"/>
    <w:rsid w:val="00464527"/>
    <w:rsid w:val="00481261"/>
    <w:rsid w:val="00485915"/>
    <w:rsid w:val="00495F59"/>
    <w:rsid w:val="004A034F"/>
    <w:rsid w:val="004A2A40"/>
    <w:rsid w:val="004A5621"/>
    <w:rsid w:val="004B78A1"/>
    <w:rsid w:val="004C0950"/>
    <w:rsid w:val="004D360A"/>
    <w:rsid w:val="004D4508"/>
    <w:rsid w:val="004D46F0"/>
    <w:rsid w:val="004D5D07"/>
    <w:rsid w:val="0050107C"/>
    <w:rsid w:val="00510730"/>
    <w:rsid w:val="005112F2"/>
    <w:rsid w:val="00521B34"/>
    <w:rsid w:val="00524428"/>
    <w:rsid w:val="00544E7C"/>
    <w:rsid w:val="00577FCC"/>
    <w:rsid w:val="00592EFE"/>
    <w:rsid w:val="005964FF"/>
    <w:rsid w:val="005B1714"/>
    <w:rsid w:val="005C7BC9"/>
    <w:rsid w:val="005D0276"/>
    <w:rsid w:val="005D6679"/>
    <w:rsid w:val="005E29A9"/>
    <w:rsid w:val="0060616D"/>
    <w:rsid w:val="00630AB3"/>
    <w:rsid w:val="006365F1"/>
    <w:rsid w:val="00657CCF"/>
    <w:rsid w:val="00660256"/>
    <w:rsid w:val="00670A39"/>
    <w:rsid w:val="0067360F"/>
    <w:rsid w:val="00680238"/>
    <w:rsid w:val="0068240F"/>
    <w:rsid w:val="00683FB6"/>
    <w:rsid w:val="006A43E8"/>
    <w:rsid w:val="006B07A9"/>
    <w:rsid w:val="006D5744"/>
    <w:rsid w:val="006D7B48"/>
    <w:rsid w:val="006E722A"/>
    <w:rsid w:val="006F500A"/>
    <w:rsid w:val="006F72BF"/>
    <w:rsid w:val="00710A49"/>
    <w:rsid w:val="00732ABC"/>
    <w:rsid w:val="00737BCB"/>
    <w:rsid w:val="007462C4"/>
    <w:rsid w:val="00747DAB"/>
    <w:rsid w:val="00763EE5"/>
    <w:rsid w:val="00765EF6"/>
    <w:rsid w:val="0078506D"/>
    <w:rsid w:val="007A6BCF"/>
    <w:rsid w:val="007B039B"/>
    <w:rsid w:val="007D5FC7"/>
    <w:rsid w:val="007E5A1B"/>
    <w:rsid w:val="007E70D6"/>
    <w:rsid w:val="00803579"/>
    <w:rsid w:val="00812059"/>
    <w:rsid w:val="0081790B"/>
    <w:rsid w:val="008242A6"/>
    <w:rsid w:val="008303F5"/>
    <w:rsid w:val="008306DF"/>
    <w:rsid w:val="008378FA"/>
    <w:rsid w:val="008436A1"/>
    <w:rsid w:val="00864807"/>
    <w:rsid w:val="008B6FEA"/>
    <w:rsid w:val="008C4099"/>
    <w:rsid w:val="008C5AFB"/>
    <w:rsid w:val="008D1FAA"/>
    <w:rsid w:val="008D6A55"/>
    <w:rsid w:val="008F0AB2"/>
    <w:rsid w:val="008F63FB"/>
    <w:rsid w:val="0090696F"/>
    <w:rsid w:val="00910144"/>
    <w:rsid w:val="009129F6"/>
    <w:rsid w:val="00931FD9"/>
    <w:rsid w:val="00934A1C"/>
    <w:rsid w:val="0093668F"/>
    <w:rsid w:val="00954420"/>
    <w:rsid w:val="009759E8"/>
    <w:rsid w:val="00975D85"/>
    <w:rsid w:val="009965A6"/>
    <w:rsid w:val="009965AA"/>
    <w:rsid w:val="00996A52"/>
    <w:rsid w:val="009B765A"/>
    <w:rsid w:val="009C6D16"/>
    <w:rsid w:val="009D3C54"/>
    <w:rsid w:val="009D6A5B"/>
    <w:rsid w:val="009D6B35"/>
    <w:rsid w:val="009E76CC"/>
    <w:rsid w:val="009F27F4"/>
    <w:rsid w:val="00A0291C"/>
    <w:rsid w:val="00A30E47"/>
    <w:rsid w:val="00A353F6"/>
    <w:rsid w:val="00A51350"/>
    <w:rsid w:val="00A519B1"/>
    <w:rsid w:val="00A8059F"/>
    <w:rsid w:val="00A813C0"/>
    <w:rsid w:val="00AA0FCA"/>
    <w:rsid w:val="00AB059C"/>
    <w:rsid w:val="00AC1FD2"/>
    <w:rsid w:val="00AC5B50"/>
    <w:rsid w:val="00AD2827"/>
    <w:rsid w:val="00AD3E4E"/>
    <w:rsid w:val="00AD5E3D"/>
    <w:rsid w:val="00AE288D"/>
    <w:rsid w:val="00AF3FE5"/>
    <w:rsid w:val="00B0648A"/>
    <w:rsid w:val="00B14F6E"/>
    <w:rsid w:val="00B2588A"/>
    <w:rsid w:val="00B328D3"/>
    <w:rsid w:val="00B32CEC"/>
    <w:rsid w:val="00B3390C"/>
    <w:rsid w:val="00B42B8A"/>
    <w:rsid w:val="00B50B99"/>
    <w:rsid w:val="00B5107C"/>
    <w:rsid w:val="00B66AB5"/>
    <w:rsid w:val="00B931A5"/>
    <w:rsid w:val="00BA5235"/>
    <w:rsid w:val="00BA7AF2"/>
    <w:rsid w:val="00BB6081"/>
    <w:rsid w:val="00BD17EA"/>
    <w:rsid w:val="00BD4F95"/>
    <w:rsid w:val="00C015A2"/>
    <w:rsid w:val="00C0364F"/>
    <w:rsid w:val="00C17A1C"/>
    <w:rsid w:val="00C55A78"/>
    <w:rsid w:val="00C64BFA"/>
    <w:rsid w:val="00C74942"/>
    <w:rsid w:val="00C873D8"/>
    <w:rsid w:val="00C93797"/>
    <w:rsid w:val="00CA6F62"/>
    <w:rsid w:val="00CB7A00"/>
    <w:rsid w:val="00CC1E54"/>
    <w:rsid w:val="00CE16C4"/>
    <w:rsid w:val="00CE1CDC"/>
    <w:rsid w:val="00D30F96"/>
    <w:rsid w:val="00D32C8E"/>
    <w:rsid w:val="00D33C30"/>
    <w:rsid w:val="00D52736"/>
    <w:rsid w:val="00D70149"/>
    <w:rsid w:val="00D73399"/>
    <w:rsid w:val="00D86916"/>
    <w:rsid w:val="00D9780A"/>
    <w:rsid w:val="00DD0AA9"/>
    <w:rsid w:val="00DF0C08"/>
    <w:rsid w:val="00DF552B"/>
    <w:rsid w:val="00DF68FE"/>
    <w:rsid w:val="00E36394"/>
    <w:rsid w:val="00E546EA"/>
    <w:rsid w:val="00E61DE2"/>
    <w:rsid w:val="00E64F4E"/>
    <w:rsid w:val="00E66379"/>
    <w:rsid w:val="00EA29D1"/>
    <w:rsid w:val="00EA33B7"/>
    <w:rsid w:val="00EA67A6"/>
    <w:rsid w:val="00EC507B"/>
    <w:rsid w:val="00EC6322"/>
    <w:rsid w:val="00EC7005"/>
    <w:rsid w:val="00EE49A2"/>
    <w:rsid w:val="00F010F4"/>
    <w:rsid w:val="00F02726"/>
    <w:rsid w:val="00F06466"/>
    <w:rsid w:val="00F20A14"/>
    <w:rsid w:val="00F23F60"/>
    <w:rsid w:val="00F2401B"/>
    <w:rsid w:val="00F362E8"/>
    <w:rsid w:val="00F474E5"/>
    <w:rsid w:val="00F47EE0"/>
    <w:rsid w:val="00F743CF"/>
    <w:rsid w:val="00F74877"/>
    <w:rsid w:val="00F82287"/>
    <w:rsid w:val="00FA3D85"/>
    <w:rsid w:val="00FB0C85"/>
    <w:rsid w:val="00FC0604"/>
    <w:rsid w:val="00FC3012"/>
    <w:rsid w:val="00FC49BB"/>
    <w:rsid w:val="00FD51BF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4F3BA"/>
  <w15:docId w15:val="{9B59D229-0D5F-4FD3-B0CF-1804EF08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9780A"/>
    <w:pPr>
      <w:spacing w:line="360" w:lineRule="auto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0272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7E70D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70D6"/>
  </w:style>
  <w:style w:type="paragraph" w:styleId="Kopfzeile">
    <w:name w:val="header"/>
    <w:basedOn w:val="Standard"/>
    <w:rsid w:val="00934A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498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Kunst am Bau - Kostenzusammenstellung</vt:lpstr>
    </vt:vector>
  </TitlesOfParts>
  <Company>VBV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 am Bau - Kostenzusammenstellung</dc:title>
  <dc:creator>LakeK</dc:creator>
  <cp:lastModifiedBy>Ochmann, Julia (VB-BW Amt LB)</cp:lastModifiedBy>
  <cp:revision>9</cp:revision>
  <cp:lastPrinted>2017-06-12T13:06:00Z</cp:lastPrinted>
  <dcterms:created xsi:type="dcterms:W3CDTF">2018-06-27T11:36:00Z</dcterms:created>
  <dcterms:modified xsi:type="dcterms:W3CDTF">2022-08-15T12:58:00Z</dcterms:modified>
</cp:coreProperties>
</file>